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791"/>
        <w:tblW w:w="5000" w:type="pct"/>
        <w:tblLook w:val="04A0" w:firstRow="1" w:lastRow="0" w:firstColumn="1" w:lastColumn="0" w:noHBand="0" w:noVBand="1"/>
      </w:tblPr>
      <w:tblGrid>
        <w:gridCol w:w="4680"/>
        <w:gridCol w:w="4680"/>
      </w:tblGrid>
      <w:tr w:rsidR="000A7052" w14:paraId="5877D72A" w14:textId="77777777" w:rsidTr="000A7052">
        <w:tc>
          <w:tcPr>
            <w:tcW w:w="2500" w:type="pct"/>
            <w:tcBorders>
              <w:top w:val="nil"/>
              <w:left w:val="nil"/>
              <w:bottom w:val="nil"/>
              <w:right w:val="nil"/>
            </w:tcBorders>
          </w:tcPr>
          <w:p w14:paraId="6290A7A5" w14:textId="77777777" w:rsidR="000A7052" w:rsidRDefault="000A7052" w:rsidP="000A7052">
            <w:pPr>
              <w:tabs>
                <w:tab w:val="center" w:pos="4513"/>
                <w:tab w:val="right" w:pos="9026"/>
              </w:tabs>
              <w:rPr>
                <w:color w:val="000000"/>
              </w:rPr>
            </w:pPr>
            <w:r>
              <w:rPr>
                <w:noProof/>
                <w:color w:val="000000"/>
              </w:rPr>
              <w:drawing>
                <wp:inline distT="0" distB="0" distL="0" distR="0" wp14:anchorId="08865395" wp14:editId="24412F22">
                  <wp:extent cx="179832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554990"/>
                          </a:xfrm>
                          <a:prstGeom prst="rect">
                            <a:avLst/>
                          </a:prstGeom>
                          <a:noFill/>
                        </pic:spPr>
                      </pic:pic>
                    </a:graphicData>
                  </a:graphic>
                </wp:inline>
              </w:drawing>
            </w:r>
          </w:p>
        </w:tc>
        <w:tc>
          <w:tcPr>
            <w:tcW w:w="2500" w:type="pct"/>
            <w:tcBorders>
              <w:top w:val="nil"/>
              <w:left w:val="nil"/>
              <w:bottom w:val="nil"/>
              <w:right w:val="nil"/>
            </w:tcBorders>
          </w:tcPr>
          <w:p w14:paraId="627C5FE6" w14:textId="77777777" w:rsidR="000A7052" w:rsidRDefault="000A7052" w:rsidP="000A7052">
            <w:pPr>
              <w:tabs>
                <w:tab w:val="center" w:pos="4513"/>
                <w:tab w:val="right" w:pos="9026"/>
              </w:tabs>
              <w:jc w:val="right"/>
              <w:rPr>
                <w:color w:val="000000"/>
              </w:rPr>
            </w:pPr>
            <w:r>
              <w:rPr>
                <w:noProof/>
                <w:color w:val="000000"/>
              </w:rPr>
              <w:drawing>
                <wp:inline distT="0" distB="0" distL="0" distR="0" wp14:anchorId="73B9E113" wp14:editId="3CFC78CF">
                  <wp:extent cx="949885" cy="365760"/>
                  <wp:effectExtent l="0" t="0" r="3175" b="0"/>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CA_Logo_CMYK_st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9885" cy="365760"/>
                          </a:xfrm>
                          <a:prstGeom prst="rect">
                            <a:avLst/>
                          </a:prstGeom>
                        </pic:spPr>
                      </pic:pic>
                    </a:graphicData>
                  </a:graphic>
                </wp:inline>
              </w:drawing>
            </w:r>
          </w:p>
        </w:tc>
      </w:tr>
    </w:tbl>
    <w:p w14:paraId="304231CF" w14:textId="77777777" w:rsidR="000A7052" w:rsidRDefault="000A7052" w:rsidP="000A7052">
      <w:pPr>
        <w:rPr>
          <w:rFonts w:ascii="Cambria" w:hAnsi="Cambria"/>
          <w:b/>
          <w:bCs/>
          <w:sz w:val="24"/>
          <w:szCs w:val="24"/>
          <w:lang w:val="fr-FR"/>
        </w:rPr>
      </w:pPr>
    </w:p>
    <w:p w14:paraId="41F7B37E" w14:textId="3CB36E0C" w:rsidR="00B65A95" w:rsidRDefault="000A7052" w:rsidP="000A7052">
      <w:pPr>
        <w:jc w:val="center"/>
        <w:rPr>
          <w:rFonts w:ascii="Cambria" w:hAnsi="Cambria"/>
          <w:b/>
          <w:bCs/>
          <w:sz w:val="24"/>
          <w:szCs w:val="24"/>
          <w:lang w:val="fr-FR"/>
        </w:rPr>
      </w:pPr>
      <w:r w:rsidRPr="000A7052">
        <w:rPr>
          <w:rFonts w:ascii="Cambria" w:hAnsi="Cambria"/>
          <w:b/>
          <w:bCs/>
          <w:sz w:val="24"/>
          <w:szCs w:val="24"/>
          <w:lang w:val="fr-FR"/>
        </w:rPr>
        <w:t xml:space="preserve">Briefing sur la Résilience Côtière avec WACA </w:t>
      </w:r>
      <w:r>
        <w:rPr>
          <w:rFonts w:ascii="Cambria" w:hAnsi="Cambria"/>
          <w:b/>
          <w:bCs/>
          <w:sz w:val="24"/>
          <w:szCs w:val="24"/>
          <w:lang w:val="fr-FR"/>
        </w:rPr>
        <w:t>(</w:t>
      </w:r>
      <w:r w:rsidRPr="000A7052">
        <w:rPr>
          <w:rFonts w:ascii="Cambria" w:hAnsi="Cambria"/>
          <w:b/>
          <w:bCs/>
          <w:sz w:val="24"/>
          <w:szCs w:val="24"/>
          <w:lang w:val="fr-FR"/>
        </w:rPr>
        <w:t>La</w:t>
      </w:r>
      <w:r w:rsidRPr="000A7052">
        <w:rPr>
          <w:rFonts w:ascii="Cambria" w:hAnsi="Cambria"/>
          <w:b/>
          <w:bCs/>
          <w:sz w:val="24"/>
          <w:szCs w:val="24"/>
          <w:lang w:val="fr-FR"/>
        </w:rPr>
        <w:t xml:space="preserve"> Jeunesse qui transforme l'Afrique)</w:t>
      </w:r>
    </w:p>
    <w:p w14:paraId="4A919BD3" w14:textId="77777777" w:rsidR="000A7052" w:rsidRDefault="000A7052" w:rsidP="000A7052">
      <w:pPr>
        <w:jc w:val="center"/>
        <w:rPr>
          <w:rFonts w:ascii="Cambria" w:hAnsi="Cambria"/>
          <w:b/>
          <w:bCs/>
          <w:sz w:val="24"/>
          <w:szCs w:val="24"/>
          <w:lang w:val="fr-FR"/>
        </w:rPr>
      </w:pPr>
    </w:p>
    <w:p w14:paraId="53D7EA5B" w14:textId="36FA52A5" w:rsidR="000A7052" w:rsidRDefault="000A7052" w:rsidP="000A7052">
      <w:pPr>
        <w:jc w:val="center"/>
        <w:rPr>
          <w:rFonts w:ascii="Cambria" w:hAnsi="Cambria"/>
          <w:b/>
          <w:bCs/>
          <w:color w:val="00B0F0"/>
          <w:sz w:val="24"/>
          <w:szCs w:val="24"/>
        </w:rPr>
      </w:pPr>
      <w:r w:rsidRPr="000A7052">
        <w:rPr>
          <w:rFonts w:ascii="Cambria" w:hAnsi="Cambria"/>
          <w:b/>
          <w:bCs/>
          <w:color w:val="00B0F0"/>
          <w:sz w:val="24"/>
          <w:szCs w:val="24"/>
        </w:rPr>
        <w:t xml:space="preserve">Samedi 6 </w:t>
      </w:r>
      <w:proofErr w:type="spellStart"/>
      <w:r w:rsidRPr="000A7052">
        <w:rPr>
          <w:rFonts w:ascii="Cambria" w:hAnsi="Cambria"/>
          <w:b/>
          <w:bCs/>
          <w:color w:val="00B0F0"/>
          <w:sz w:val="24"/>
          <w:szCs w:val="24"/>
        </w:rPr>
        <w:t>juin</w:t>
      </w:r>
      <w:proofErr w:type="spellEnd"/>
      <w:r w:rsidRPr="000A7052">
        <w:rPr>
          <w:rFonts w:ascii="Cambria" w:hAnsi="Cambria"/>
          <w:b/>
          <w:bCs/>
          <w:color w:val="00B0F0"/>
          <w:sz w:val="24"/>
          <w:szCs w:val="24"/>
        </w:rPr>
        <w:t xml:space="preserve"> 2020, 10h00 - 11h00 EST</w:t>
      </w:r>
    </w:p>
    <w:p w14:paraId="47902790" w14:textId="4F13C2D8" w:rsidR="000A7052" w:rsidRDefault="000A7052" w:rsidP="000A7052">
      <w:pPr>
        <w:jc w:val="center"/>
        <w:rPr>
          <w:rFonts w:ascii="Cambria" w:hAnsi="Cambria"/>
          <w:b/>
          <w:bCs/>
          <w:color w:val="00B0F0"/>
          <w:sz w:val="24"/>
          <w:szCs w:val="24"/>
        </w:rPr>
      </w:pPr>
      <w:r w:rsidRPr="000A7052">
        <w:rPr>
          <w:rFonts w:ascii="Cambria" w:hAnsi="Cambria"/>
          <w:b/>
          <w:bCs/>
          <w:color w:val="00B0F0"/>
          <w:sz w:val="24"/>
          <w:szCs w:val="24"/>
        </w:rPr>
        <w:t xml:space="preserve"> 15-16h00 WAT / 16-17h00 CAT / 17-18h00 EAT</w:t>
      </w:r>
    </w:p>
    <w:p w14:paraId="4426C677" w14:textId="77777777" w:rsidR="000A7052" w:rsidRPr="000A7052" w:rsidRDefault="000A7052" w:rsidP="000A7052">
      <w:pPr>
        <w:jc w:val="center"/>
        <w:rPr>
          <w:rFonts w:ascii="Cambria" w:hAnsi="Cambria"/>
          <w:b/>
          <w:bCs/>
          <w:color w:val="00B0F0"/>
          <w:sz w:val="24"/>
          <w:szCs w:val="24"/>
        </w:rPr>
      </w:pPr>
    </w:p>
    <w:p w14:paraId="796A5267" w14:textId="67CA8958" w:rsidR="000A7052" w:rsidRDefault="000A7052" w:rsidP="000A7052">
      <w:pPr>
        <w:rPr>
          <w:rFonts w:ascii="Cambria" w:hAnsi="Cambria"/>
          <w:b/>
          <w:bCs/>
          <w:sz w:val="24"/>
          <w:szCs w:val="24"/>
          <w:lang w:val="fr-FR"/>
        </w:rPr>
      </w:pPr>
      <w:r w:rsidRPr="000A7052">
        <w:rPr>
          <w:rFonts w:ascii="Cambria" w:hAnsi="Cambria"/>
          <w:b/>
          <w:bCs/>
          <w:sz w:val="24"/>
          <w:szCs w:val="24"/>
          <w:lang w:val="fr-FR"/>
        </w:rPr>
        <w:t>Thème : Comment les jeunes peuvent-ils aider à mobiliser les communautés autour de la résilience côtière</w:t>
      </w:r>
    </w:p>
    <w:p w14:paraId="6003D76C" w14:textId="77777777" w:rsidR="000A7052" w:rsidRDefault="000A7052" w:rsidP="000A7052">
      <w:pPr>
        <w:rPr>
          <w:rFonts w:ascii="Cambria" w:hAnsi="Cambria"/>
          <w:b/>
          <w:bCs/>
          <w:sz w:val="24"/>
          <w:szCs w:val="24"/>
          <w:lang w:val="fr-FR"/>
        </w:rPr>
      </w:pPr>
    </w:p>
    <w:p w14:paraId="3F86C09D" w14:textId="77777777" w:rsidR="000A7052" w:rsidRPr="000A7052" w:rsidRDefault="000A7052" w:rsidP="000A7052">
      <w:pPr>
        <w:rPr>
          <w:rFonts w:ascii="Cambria" w:hAnsi="Cambria"/>
          <w:b/>
          <w:bCs/>
          <w:sz w:val="24"/>
          <w:szCs w:val="24"/>
          <w:lang w:val="fr-FR"/>
        </w:rPr>
      </w:pPr>
      <w:r w:rsidRPr="000A7052">
        <w:rPr>
          <w:rFonts w:ascii="Cambria" w:hAnsi="Cambria"/>
          <w:b/>
          <w:bCs/>
          <w:sz w:val="24"/>
          <w:szCs w:val="24"/>
          <w:lang w:val="fr-FR"/>
        </w:rPr>
        <w:t>Contexte</w:t>
      </w:r>
    </w:p>
    <w:p w14:paraId="343ABF0A" w14:textId="32647CE2"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Les zones côtières de l'Afrique de l'Ouest accueillent environ un tiers de la population de la région et génèrent 56 % de son PIB. Mais la dégradation de l'environnement sur les côtes du Bénin, de la Côte d'Ivoire, du Sénégal et du Togo a coûté 3,8 milliards de dollars, soit 5,3 % du PIB des quatre pays en 2017. Au-delà du coût économique, la dégradation côtière met en jeu les moyens de subsistance, la nutrition, la sécurité alimentaire et la prospérité. Le changement climatique va exacerber les pressions environnementales le long des côtes. D'ici 2100, l'Afrique de l'Ouest devrait connaître une élévation du niveau de la mer pouvant atteindre 1,06 m, une augmentation des précipitations extrêmes, une hausse de la température de 2 °C et 5 500 km2 de côtes inondées.</w:t>
      </w:r>
    </w:p>
    <w:p w14:paraId="6E8C6F38" w14:textId="5417BC39"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Le programme de gestion des zones côtières de l'Afrique de l'Ouest (WACA) soutient les efforts des pays pour apporter les solutions nécessaires à la protection des moyens de subsistance des populations côtières. Il contribuera également à mobiliser l'opinion publique afin de réduire les risques naturels et anthropiques qui affectent les communautés côtières. </w:t>
      </w:r>
    </w:p>
    <w:p w14:paraId="6732276B" w14:textId="2D9CB38B"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Dans le cadre de son initiative "</w:t>
      </w:r>
      <w:proofErr w:type="spellStart"/>
      <w:r w:rsidRPr="000A7052">
        <w:rPr>
          <w:rFonts w:ascii="Cambria" w:hAnsi="Cambria"/>
          <w:sz w:val="24"/>
          <w:szCs w:val="24"/>
          <w:lang w:val="fr-FR"/>
        </w:rPr>
        <w:t>Youth</w:t>
      </w:r>
      <w:proofErr w:type="spellEnd"/>
      <w:r w:rsidRPr="000A7052">
        <w:rPr>
          <w:rFonts w:ascii="Cambria" w:hAnsi="Cambria"/>
          <w:sz w:val="24"/>
          <w:szCs w:val="24"/>
          <w:lang w:val="fr-FR"/>
        </w:rPr>
        <w:t xml:space="preserve"> </w:t>
      </w:r>
      <w:proofErr w:type="spellStart"/>
      <w:r w:rsidRPr="000A7052">
        <w:rPr>
          <w:rFonts w:ascii="Cambria" w:hAnsi="Cambria"/>
          <w:sz w:val="24"/>
          <w:szCs w:val="24"/>
          <w:lang w:val="fr-FR"/>
        </w:rPr>
        <w:t>Transforming</w:t>
      </w:r>
      <w:proofErr w:type="spellEnd"/>
      <w:r w:rsidRPr="000A7052">
        <w:rPr>
          <w:rFonts w:ascii="Cambria" w:hAnsi="Cambria"/>
          <w:sz w:val="24"/>
          <w:szCs w:val="24"/>
          <w:lang w:val="fr-FR"/>
        </w:rPr>
        <w:t xml:space="preserve"> </w:t>
      </w:r>
      <w:proofErr w:type="spellStart"/>
      <w:r w:rsidRPr="000A7052">
        <w:rPr>
          <w:rFonts w:ascii="Cambria" w:hAnsi="Cambria"/>
          <w:sz w:val="24"/>
          <w:szCs w:val="24"/>
          <w:lang w:val="fr-FR"/>
        </w:rPr>
        <w:t>Africa</w:t>
      </w:r>
      <w:proofErr w:type="spellEnd"/>
      <w:r w:rsidRPr="000A7052">
        <w:rPr>
          <w:rFonts w:ascii="Cambria" w:hAnsi="Cambria"/>
          <w:sz w:val="24"/>
          <w:szCs w:val="24"/>
          <w:lang w:val="fr-FR"/>
        </w:rPr>
        <w:t>", la région Afrique de la Banque mondiale organise régulièrement des tables rondes sur des thèmes liés au développement. Leur but est de renforcer la capacité de la jeunesse africaine à comprendre les défis, de permettre le dialogue entre les jeunes d'Afrique et de préparer des solutions conçues par les jeunes pour influencer l'élaboration des politiques en Afrique.</w:t>
      </w:r>
    </w:p>
    <w:p w14:paraId="3424A2E8" w14:textId="6FA0B75B" w:rsidR="000A7052" w:rsidRDefault="000A7052" w:rsidP="000A7052">
      <w:pPr>
        <w:jc w:val="both"/>
        <w:rPr>
          <w:rFonts w:ascii="Cambria" w:hAnsi="Cambria"/>
          <w:sz w:val="24"/>
          <w:szCs w:val="24"/>
          <w:lang w:val="fr-FR"/>
        </w:rPr>
      </w:pPr>
      <w:r w:rsidRPr="000A7052">
        <w:rPr>
          <w:rFonts w:ascii="Cambria" w:hAnsi="Cambria"/>
          <w:sz w:val="24"/>
          <w:szCs w:val="24"/>
          <w:lang w:val="fr-FR"/>
        </w:rPr>
        <w:t>Dans le cadre de la Journée mondiale de l'environnement (5 juin) et de la Journée mondiale des océans (8 juin), l'équipe de communication pour l'Afrique (AFREC) et le programme WACA informeront les membres de la communauté Blog4Dev sur les défis liés à la dégradation des côtes. Alors que les blogueurs des 17 pays prévus pour faire partie de WACA sont spécifiquement ciblés, toute la communauté Blog4Dev sera invitée. La participation attendue est d'environ 40 blogueurs.</w:t>
      </w:r>
    </w:p>
    <w:tbl>
      <w:tblPr>
        <w:tblStyle w:val="TableGrid"/>
        <w:tblpPr w:leftFromText="180" w:rightFromText="180" w:horzAnchor="margin" w:tblpY="-710"/>
        <w:tblW w:w="5000" w:type="pct"/>
        <w:tblLook w:val="04A0" w:firstRow="1" w:lastRow="0" w:firstColumn="1" w:lastColumn="0" w:noHBand="0" w:noVBand="1"/>
      </w:tblPr>
      <w:tblGrid>
        <w:gridCol w:w="4680"/>
        <w:gridCol w:w="4680"/>
      </w:tblGrid>
      <w:tr w:rsidR="000A7052" w14:paraId="048628BF" w14:textId="77777777" w:rsidTr="000A7052">
        <w:tc>
          <w:tcPr>
            <w:tcW w:w="2500" w:type="pct"/>
            <w:tcBorders>
              <w:top w:val="nil"/>
              <w:left w:val="nil"/>
              <w:bottom w:val="nil"/>
              <w:right w:val="nil"/>
            </w:tcBorders>
          </w:tcPr>
          <w:p w14:paraId="64769EC1" w14:textId="77777777" w:rsidR="000A7052" w:rsidRDefault="000A7052" w:rsidP="000A7052">
            <w:pPr>
              <w:tabs>
                <w:tab w:val="center" w:pos="4513"/>
                <w:tab w:val="right" w:pos="9026"/>
              </w:tabs>
              <w:rPr>
                <w:color w:val="000000"/>
              </w:rPr>
            </w:pPr>
            <w:r>
              <w:rPr>
                <w:noProof/>
                <w:color w:val="000000"/>
              </w:rPr>
              <w:lastRenderedPageBreak/>
              <w:drawing>
                <wp:inline distT="0" distB="0" distL="0" distR="0" wp14:anchorId="29D5CAAE" wp14:editId="09CD3DE5">
                  <wp:extent cx="179832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554990"/>
                          </a:xfrm>
                          <a:prstGeom prst="rect">
                            <a:avLst/>
                          </a:prstGeom>
                          <a:noFill/>
                        </pic:spPr>
                      </pic:pic>
                    </a:graphicData>
                  </a:graphic>
                </wp:inline>
              </w:drawing>
            </w:r>
          </w:p>
        </w:tc>
        <w:tc>
          <w:tcPr>
            <w:tcW w:w="2500" w:type="pct"/>
            <w:tcBorders>
              <w:top w:val="nil"/>
              <w:left w:val="nil"/>
              <w:bottom w:val="nil"/>
              <w:right w:val="nil"/>
            </w:tcBorders>
          </w:tcPr>
          <w:p w14:paraId="35B53A31" w14:textId="77777777" w:rsidR="000A7052" w:rsidRDefault="000A7052" w:rsidP="000A7052">
            <w:pPr>
              <w:tabs>
                <w:tab w:val="center" w:pos="4513"/>
                <w:tab w:val="right" w:pos="9026"/>
              </w:tabs>
              <w:jc w:val="right"/>
              <w:rPr>
                <w:color w:val="000000"/>
              </w:rPr>
            </w:pPr>
            <w:r>
              <w:rPr>
                <w:noProof/>
                <w:color w:val="000000"/>
              </w:rPr>
              <w:drawing>
                <wp:inline distT="0" distB="0" distL="0" distR="0" wp14:anchorId="21CC3503" wp14:editId="321A7E1F">
                  <wp:extent cx="949885" cy="365760"/>
                  <wp:effectExtent l="0" t="0" r="3175" b="0"/>
                  <wp:docPr id="4" name="Picture 4"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CA_Logo_CMYK_st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9885" cy="365760"/>
                          </a:xfrm>
                          <a:prstGeom prst="rect">
                            <a:avLst/>
                          </a:prstGeom>
                        </pic:spPr>
                      </pic:pic>
                    </a:graphicData>
                  </a:graphic>
                </wp:inline>
              </w:drawing>
            </w:r>
          </w:p>
        </w:tc>
      </w:tr>
    </w:tbl>
    <w:p w14:paraId="5DC9247D" w14:textId="77777777" w:rsidR="000A7052" w:rsidRDefault="000A7052" w:rsidP="000A7052">
      <w:pPr>
        <w:jc w:val="both"/>
        <w:rPr>
          <w:rFonts w:ascii="Cambria" w:hAnsi="Cambria"/>
          <w:b/>
          <w:bCs/>
          <w:sz w:val="24"/>
          <w:szCs w:val="24"/>
          <w:lang w:val="fr-FR"/>
        </w:rPr>
      </w:pPr>
    </w:p>
    <w:p w14:paraId="16278B24" w14:textId="1E988F96" w:rsidR="000A7052" w:rsidRPr="000A7052" w:rsidRDefault="000A7052" w:rsidP="000A7052">
      <w:pPr>
        <w:jc w:val="both"/>
        <w:rPr>
          <w:rFonts w:ascii="Cambria" w:hAnsi="Cambria"/>
          <w:b/>
          <w:bCs/>
          <w:sz w:val="24"/>
          <w:szCs w:val="24"/>
          <w:lang w:val="fr-FR"/>
        </w:rPr>
      </w:pPr>
      <w:r w:rsidRPr="000A7052">
        <w:rPr>
          <w:rFonts w:ascii="Cambria" w:hAnsi="Cambria"/>
          <w:b/>
          <w:bCs/>
          <w:sz w:val="24"/>
          <w:szCs w:val="24"/>
          <w:lang w:val="fr-FR"/>
        </w:rPr>
        <w:t>Objectifs du briefing</w:t>
      </w:r>
    </w:p>
    <w:p w14:paraId="0611947C" w14:textId="77777777" w:rsidR="000A7052" w:rsidRPr="000A7052" w:rsidRDefault="000A7052" w:rsidP="000A7052">
      <w:pPr>
        <w:pStyle w:val="ListParagraph"/>
        <w:numPr>
          <w:ilvl w:val="0"/>
          <w:numId w:val="1"/>
        </w:numPr>
        <w:jc w:val="both"/>
        <w:rPr>
          <w:rFonts w:ascii="Cambria" w:hAnsi="Cambria"/>
          <w:sz w:val="24"/>
          <w:szCs w:val="24"/>
          <w:lang w:val="fr-FR"/>
        </w:rPr>
      </w:pPr>
      <w:r w:rsidRPr="000A7052">
        <w:rPr>
          <w:rFonts w:ascii="Cambria" w:hAnsi="Cambria"/>
          <w:sz w:val="24"/>
          <w:szCs w:val="24"/>
          <w:lang w:val="fr-FR"/>
        </w:rPr>
        <w:t>Expliquer les défis du développement liés à la dégradation des côtes due à l'érosion, à la pollution et aux inondations.</w:t>
      </w:r>
    </w:p>
    <w:p w14:paraId="03A7126D" w14:textId="79A9DD06" w:rsidR="000A7052" w:rsidRDefault="000A7052" w:rsidP="000A7052">
      <w:pPr>
        <w:pStyle w:val="ListParagraph"/>
        <w:numPr>
          <w:ilvl w:val="0"/>
          <w:numId w:val="1"/>
        </w:numPr>
        <w:jc w:val="both"/>
        <w:rPr>
          <w:rFonts w:ascii="Cambria" w:hAnsi="Cambria"/>
          <w:sz w:val="24"/>
          <w:szCs w:val="24"/>
          <w:lang w:val="fr-FR"/>
        </w:rPr>
      </w:pPr>
      <w:r w:rsidRPr="000A7052">
        <w:rPr>
          <w:rFonts w:ascii="Cambria" w:hAnsi="Cambria"/>
          <w:sz w:val="24"/>
          <w:szCs w:val="24"/>
          <w:lang w:val="fr-FR"/>
        </w:rPr>
        <w:t>Inviter la communauté Blog4Dev à mettre en place une campagne à travers leurs plateformes (blogs personnels, pages Facebook, compte twitter, Instagram) sur la façon dont les communautés côtières pourraient contribuer à réduire les risques qui les affectent. Le meilleur contenu sera partagé sur le site web de WACA et sur le blog "</w:t>
      </w:r>
      <w:proofErr w:type="spellStart"/>
      <w:r w:rsidRPr="000A7052">
        <w:rPr>
          <w:rFonts w:ascii="Cambria" w:hAnsi="Cambria"/>
          <w:sz w:val="24"/>
          <w:szCs w:val="24"/>
          <w:lang w:val="fr-FR"/>
        </w:rPr>
        <w:t>Youth</w:t>
      </w:r>
      <w:proofErr w:type="spellEnd"/>
      <w:r w:rsidRPr="000A7052">
        <w:rPr>
          <w:rFonts w:ascii="Cambria" w:hAnsi="Cambria"/>
          <w:sz w:val="24"/>
          <w:szCs w:val="24"/>
          <w:lang w:val="fr-FR"/>
        </w:rPr>
        <w:t xml:space="preserve"> </w:t>
      </w:r>
      <w:proofErr w:type="spellStart"/>
      <w:r w:rsidRPr="000A7052">
        <w:rPr>
          <w:rFonts w:ascii="Cambria" w:hAnsi="Cambria"/>
          <w:sz w:val="24"/>
          <w:szCs w:val="24"/>
          <w:lang w:val="fr-FR"/>
        </w:rPr>
        <w:t>Transforming</w:t>
      </w:r>
      <w:proofErr w:type="spellEnd"/>
      <w:r w:rsidRPr="000A7052">
        <w:rPr>
          <w:rFonts w:ascii="Cambria" w:hAnsi="Cambria"/>
          <w:sz w:val="24"/>
          <w:szCs w:val="24"/>
          <w:lang w:val="fr-FR"/>
        </w:rPr>
        <w:t xml:space="preserve"> </w:t>
      </w:r>
      <w:proofErr w:type="spellStart"/>
      <w:r w:rsidRPr="000A7052">
        <w:rPr>
          <w:rFonts w:ascii="Cambria" w:hAnsi="Cambria"/>
          <w:sz w:val="24"/>
          <w:szCs w:val="24"/>
          <w:lang w:val="fr-FR"/>
        </w:rPr>
        <w:t>Africa</w:t>
      </w:r>
      <w:proofErr w:type="spellEnd"/>
      <w:r w:rsidRPr="000A7052">
        <w:rPr>
          <w:rFonts w:ascii="Cambria" w:hAnsi="Cambria"/>
          <w:sz w:val="24"/>
          <w:szCs w:val="24"/>
          <w:lang w:val="fr-FR"/>
        </w:rPr>
        <w:t>".</w:t>
      </w:r>
    </w:p>
    <w:p w14:paraId="4451B107" w14:textId="77777777" w:rsidR="000A7052" w:rsidRPr="000A7052" w:rsidRDefault="000A7052" w:rsidP="000A7052">
      <w:pPr>
        <w:jc w:val="both"/>
        <w:rPr>
          <w:rFonts w:ascii="Cambria" w:hAnsi="Cambria"/>
          <w:b/>
          <w:bCs/>
          <w:sz w:val="24"/>
          <w:szCs w:val="24"/>
          <w:lang w:val="fr-FR"/>
        </w:rPr>
      </w:pPr>
      <w:r w:rsidRPr="000A7052">
        <w:rPr>
          <w:rFonts w:ascii="Cambria" w:hAnsi="Cambria"/>
          <w:b/>
          <w:bCs/>
          <w:sz w:val="24"/>
          <w:szCs w:val="24"/>
          <w:lang w:val="fr-FR"/>
        </w:rPr>
        <w:t>Date et heure</w:t>
      </w:r>
    </w:p>
    <w:p w14:paraId="04912DAA" w14:textId="7F45C8FD" w:rsidR="000A7052" w:rsidRDefault="000A7052" w:rsidP="000A7052">
      <w:pPr>
        <w:jc w:val="both"/>
        <w:rPr>
          <w:rFonts w:ascii="Cambria" w:hAnsi="Cambria"/>
          <w:sz w:val="24"/>
          <w:szCs w:val="24"/>
          <w:lang w:val="fr-FR"/>
        </w:rPr>
      </w:pPr>
      <w:r w:rsidRPr="000A7052">
        <w:rPr>
          <w:rFonts w:ascii="Cambria" w:hAnsi="Cambria"/>
          <w:sz w:val="24"/>
          <w:szCs w:val="24"/>
          <w:lang w:val="fr-FR"/>
        </w:rPr>
        <w:t xml:space="preserve">Ce webinaire d'une heure aura lieu le samedi 6 juin, de 10h00 à 11h00 (heure de l'Est). La plateforme prévue sera </w:t>
      </w:r>
      <w:proofErr w:type="spellStart"/>
      <w:r w:rsidRPr="000A7052">
        <w:rPr>
          <w:rFonts w:ascii="Cambria" w:hAnsi="Cambria"/>
          <w:sz w:val="24"/>
          <w:szCs w:val="24"/>
          <w:lang w:val="fr-FR"/>
        </w:rPr>
        <w:t>Kudo</w:t>
      </w:r>
      <w:proofErr w:type="spellEnd"/>
      <w:r w:rsidRPr="000A7052">
        <w:rPr>
          <w:rFonts w:ascii="Cambria" w:hAnsi="Cambria"/>
          <w:sz w:val="24"/>
          <w:szCs w:val="24"/>
          <w:lang w:val="fr-FR"/>
        </w:rPr>
        <w:t xml:space="preserve"> pour permettre la traduction simultanée. Si ce n'est pas possible, </w:t>
      </w:r>
      <w:proofErr w:type="spellStart"/>
      <w:r w:rsidRPr="000A7052">
        <w:rPr>
          <w:rFonts w:ascii="Cambria" w:hAnsi="Cambria"/>
          <w:sz w:val="24"/>
          <w:szCs w:val="24"/>
          <w:lang w:val="fr-FR"/>
        </w:rPr>
        <w:t>Webex</w:t>
      </w:r>
      <w:proofErr w:type="spellEnd"/>
      <w:r w:rsidRPr="000A7052">
        <w:rPr>
          <w:rFonts w:ascii="Cambria" w:hAnsi="Cambria"/>
          <w:sz w:val="24"/>
          <w:szCs w:val="24"/>
          <w:lang w:val="fr-FR"/>
        </w:rPr>
        <w:t xml:space="preserve"> sera un plan B et les gens seront autorisés à s'exprimer en anglais ou en français.</w:t>
      </w:r>
    </w:p>
    <w:p w14:paraId="7B0F2BE4" w14:textId="2306726A" w:rsidR="000A7052" w:rsidRPr="000A7052" w:rsidRDefault="000A7052" w:rsidP="000A7052">
      <w:pPr>
        <w:jc w:val="both"/>
        <w:rPr>
          <w:rFonts w:ascii="Cambria" w:hAnsi="Cambria"/>
          <w:b/>
          <w:bCs/>
          <w:sz w:val="24"/>
          <w:szCs w:val="24"/>
          <w:lang w:val="fr-FR"/>
        </w:rPr>
      </w:pPr>
      <w:r w:rsidRPr="000A7052">
        <w:rPr>
          <w:rFonts w:ascii="Cambria" w:hAnsi="Cambria"/>
          <w:b/>
          <w:bCs/>
          <w:sz w:val="24"/>
          <w:szCs w:val="24"/>
          <w:lang w:val="fr-FR"/>
        </w:rPr>
        <w:t>Format et conférenciers (EST)</w:t>
      </w:r>
    </w:p>
    <w:p w14:paraId="635CB984" w14:textId="269F80F8" w:rsidR="000A7052" w:rsidRPr="000A7052" w:rsidRDefault="0096327A" w:rsidP="000A7052">
      <w:pPr>
        <w:jc w:val="both"/>
        <w:rPr>
          <w:rFonts w:ascii="Cambria" w:hAnsi="Cambria"/>
          <w:sz w:val="24"/>
          <w:szCs w:val="24"/>
          <w:lang w:val="fr-FR"/>
        </w:rPr>
      </w:pPr>
      <w:proofErr w:type="gramStart"/>
      <w:r w:rsidRPr="0096327A">
        <w:rPr>
          <w:rFonts w:ascii="Cambria" w:hAnsi="Cambria"/>
          <w:b/>
          <w:bCs/>
          <w:sz w:val="24"/>
          <w:szCs w:val="24"/>
          <w:lang w:val="fr-FR"/>
        </w:rPr>
        <w:t>10:</w:t>
      </w:r>
      <w:proofErr w:type="gramEnd"/>
      <w:r w:rsidR="000A7052" w:rsidRPr="0096327A">
        <w:rPr>
          <w:rFonts w:ascii="Cambria" w:hAnsi="Cambria"/>
          <w:b/>
          <w:bCs/>
          <w:sz w:val="24"/>
          <w:szCs w:val="24"/>
          <w:lang w:val="fr-FR"/>
        </w:rPr>
        <w:t xml:space="preserve">00 </w:t>
      </w:r>
      <w:r w:rsidRPr="0096327A">
        <w:rPr>
          <w:rFonts w:ascii="Cambria" w:hAnsi="Cambria"/>
          <w:b/>
          <w:bCs/>
          <w:sz w:val="24"/>
          <w:szCs w:val="24"/>
          <w:lang w:val="fr-FR"/>
        </w:rPr>
        <w:t>Bienvenue :</w:t>
      </w:r>
      <w:r w:rsidR="000A7052" w:rsidRPr="000A7052">
        <w:rPr>
          <w:rFonts w:ascii="Cambria" w:hAnsi="Cambria"/>
          <w:sz w:val="24"/>
          <w:szCs w:val="24"/>
          <w:lang w:val="fr-FR"/>
        </w:rPr>
        <w:t xml:space="preserve"> Sylvie Nenonene, Responsable des affaires extérieures, Intégration régionale, AFREC</w:t>
      </w:r>
    </w:p>
    <w:p w14:paraId="4E1A123C" w14:textId="7A4D5EBD" w:rsidR="000A7052" w:rsidRPr="0096327A" w:rsidRDefault="000A7052" w:rsidP="000A7052">
      <w:pPr>
        <w:jc w:val="both"/>
        <w:rPr>
          <w:rFonts w:ascii="Cambria" w:hAnsi="Cambria"/>
          <w:b/>
          <w:bCs/>
          <w:sz w:val="24"/>
          <w:szCs w:val="24"/>
          <w:lang w:val="fr-FR"/>
        </w:rPr>
      </w:pPr>
      <w:proofErr w:type="gramStart"/>
      <w:r w:rsidRPr="0096327A">
        <w:rPr>
          <w:rFonts w:ascii="Cambria" w:hAnsi="Cambria"/>
          <w:b/>
          <w:bCs/>
          <w:sz w:val="24"/>
          <w:szCs w:val="24"/>
          <w:lang w:val="fr-FR"/>
        </w:rPr>
        <w:t>10:</w:t>
      </w:r>
      <w:proofErr w:type="gramEnd"/>
      <w:r w:rsidRPr="0096327A">
        <w:rPr>
          <w:rFonts w:ascii="Cambria" w:hAnsi="Cambria"/>
          <w:b/>
          <w:bCs/>
          <w:sz w:val="24"/>
          <w:szCs w:val="24"/>
          <w:lang w:val="fr-FR"/>
        </w:rPr>
        <w:t>03 Ordre du jour et orateurs</w:t>
      </w:r>
    </w:p>
    <w:p w14:paraId="31D723D5" w14:textId="05387605"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            Kelvin </w:t>
      </w:r>
      <w:proofErr w:type="spellStart"/>
      <w:r w:rsidRPr="000A7052">
        <w:rPr>
          <w:rFonts w:ascii="Cambria" w:hAnsi="Cambria"/>
          <w:sz w:val="24"/>
          <w:szCs w:val="24"/>
          <w:lang w:val="fr-FR"/>
        </w:rPr>
        <w:t>Adantchede</w:t>
      </w:r>
      <w:proofErr w:type="spellEnd"/>
      <w:r w:rsidRPr="000A7052">
        <w:rPr>
          <w:rFonts w:ascii="Cambria" w:hAnsi="Cambria"/>
          <w:sz w:val="24"/>
          <w:szCs w:val="24"/>
          <w:lang w:val="fr-FR"/>
        </w:rPr>
        <w:t>, blogueur pour les jeunes, modérateur</w:t>
      </w:r>
    </w:p>
    <w:p w14:paraId="3363C180" w14:textId="62144CF2" w:rsidR="000A7052" w:rsidRPr="0096327A" w:rsidRDefault="000A7052" w:rsidP="000A7052">
      <w:pPr>
        <w:jc w:val="both"/>
        <w:rPr>
          <w:rFonts w:ascii="Cambria" w:hAnsi="Cambria"/>
          <w:b/>
          <w:bCs/>
          <w:sz w:val="24"/>
          <w:szCs w:val="24"/>
          <w:lang w:val="fr-FR"/>
        </w:rPr>
      </w:pPr>
      <w:proofErr w:type="gramStart"/>
      <w:r w:rsidRPr="0096327A">
        <w:rPr>
          <w:rFonts w:ascii="Cambria" w:hAnsi="Cambria"/>
          <w:b/>
          <w:bCs/>
          <w:sz w:val="24"/>
          <w:szCs w:val="24"/>
          <w:lang w:val="fr-FR"/>
        </w:rPr>
        <w:t>10:</w:t>
      </w:r>
      <w:proofErr w:type="gramEnd"/>
      <w:r w:rsidRPr="0096327A">
        <w:rPr>
          <w:rFonts w:ascii="Cambria" w:hAnsi="Cambria"/>
          <w:b/>
          <w:bCs/>
          <w:sz w:val="24"/>
          <w:szCs w:val="24"/>
          <w:lang w:val="fr-FR"/>
        </w:rPr>
        <w:t>05 Les défis de la dégradation des côtes</w:t>
      </w:r>
    </w:p>
    <w:p w14:paraId="3232A982" w14:textId="3FD8C36B"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              Maria Sarraf, responsable de la pratique</w:t>
      </w:r>
    </w:p>
    <w:p w14:paraId="25BF207A" w14:textId="79CDC219"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              Salimata Follea, chef d'équipe de projet, WACA Bénin</w:t>
      </w:r>
    </w:p>
    <w:p w14:paraId="2E8C59B2" w14:textId="659C3E4D" w:rsidR="000A7052" w:rsidRPr="0096327A" w:rsidRDefault="000A7052" w:rsidP="000A7052">
      <w:pPr>
        <w:jc w:val="both"/>
        <w:rPr>
          <w:rFonts w:ascii="Cambria" w:hAnsi="Cambria"/>
          <w:b/>
          <w:bCs/>
          <w:sz w:val="24"/>
          <w:szCs w:val="24"/>
          <w:lang w:val="fr-FR"/>
        </w:rPr>
      </w:pPr>
      <w:proofErr w:type="gramStart"/>
      <w:r w:rsidRPr="0096327A">
        <w:rPr>
          <w:rFonts w:ascii="Cambria" w:hAnsi="Cambria"/>
          <w:b/>
          <w:bCs/>
          <w:sz w:val="24"/>
          <w:szCs w:val="24"/>
          <w:lang w:val="fr-FR"/>
        </w:rPr>
        <w:t>10:</w:t>
      </w:r>
      <w:proofErr w:type="gramEnd"/>
      <w:r w:rsidRPr="0096327A">
        <w:rPr>
          <w:rFonts w:ascii="Cambria" w:hAnsi="Cambria"/>
          <w:b/>
          <w:bCs/>
          <w:sz w:val="24"/>
          <w:szCs w:val="24"/>
          <w:lang w:val="fr-FR"/>
        </w:rPr>
        <w:t xml:space="preserve">15 Quel rôle pour les jeunes entrepreneurs ? </w:t>
      </w:r>
    </w:p>
    <w:p w14:paraId="62616DEB" w14:textId="360F0EAD"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             Margaret Arnold, spécialiste principale du développement social</w:t>
      </w:r>
    </w:p>
    <w:p w14:paraId="21C5B4B7" w14:textId="7AB2E29A"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             Elikia Abraham, spécialiste du secteur privé</w:t>
      </w:r>
    </w:p>
    <w:p w14:paraId="3742F439" w14:textId="3BAC3365" w:rsidR="000A7052" w:rsidRPr="0096327A" w:rsidRDefault="000A7052" w:rsidP="000A7052">
      <w:pPr>
        <w:jc w:val="both"/>
        <w:rPr>
          <w:rFonts w:ascii="Cambria" w:hAnsi="Cambria"/>
          <w:b/>
          <w:bCs/>
          <w:sz w:val="24"/>
          <w:szCs w:val="24"/>
          <w:lang w:val="fr-FR"/>
        </w:rPr>
      </w:pPr>
      <w:proofErr w:type="gramStart"/>
      <w:r w:rsidRPr="0096327A">
        <w:rPr>
          <w:rFonts w:ascii="Cambria" w:hAnsi="Cambria"/>
          <w:b/>
          <w:bCs/>
          <w:sz w:val="24"/>
          <w:szCs w:val="24"/>
          <w:lang w:val="fr-FR"/>
        </w:rPr>
        <w:t>10:</w:t>
      </w:r>
      <w:proofErr w:type="gramEnd"/>
      <w:r w:rsidRPr="0096327A">
        <w:rPr>
          <w:rFonts w:ascii="Cambria" w:hAnsi="Cambria"/>
          <w:b/>
          <w:bCs/>
          <w:sz w:val="24"/>
          <w:szCs w:val="24"/>
          <w:lang w:val="fr-FR"/>
        </w:rPr>
        <w:t>25 Comment utiliser les médias sociaux pour mobiliser les communautés</w:t>
      </w:r>
    </w:p>
    <w:p w14:paraId="7BD97B83" w14:textId="583C707F" w:rsidR="000A7052" w:rsidRPr="000A7052" w:rsidRDefault="000A7052" w:rsidP="000A7052">
      <w:pPr>
        <w:jc w:val="both"/>
        <w:rPr>
          <w:rFonts w:ascii="Cambria" w:hAnsi="Cambria"/>
          <w:sz w:val="24"/>
          <w:szCs w:val="24"/>
          <w:lang w:val="fr-FR"/>
        </w:rPr>
      </w:pPr>
      <w:r w:rsidRPr="000A7052">
        <w:rPr>
          <w:rFonts w:ascii="Cambria" w:hAnsi="Cambria"/>
          <w:sz w:val="24"/>
          <w:szCs w:val="24"/>
          <w:lang w:val="fr-FR"/>
        </w:rPr>
        <w:t xml:space="preserve">             Marie Duffour, spécialiste des médias sociaux, AFREC</w:t>
      </w:r>
    </w:p>
    <w:p w14:paraId="5F45DB75" w14:textId="5E566B24" w:rsidR="000A7052" w:rsidRPr="0096327A" w:rsidRDefault="000A7052" w:rsidP="000A7052">
      <w:pPr>
        <w:jc w:val="both"/>
        <w:rPr>
          <w:rFonts w:ascii="Cambria" w:hAnsi="Cambria"/>
          <w:b/>
          <w:bCs/>
          <w:sz w:val="24"/>
          <w:szCs w:val="24"/>
          <w:lang w:val="fr-FR"/>
        </w:rPr>
      </w:pPr>
      <w:proofErr w:type="gramStart"/>
      <w:r w:rsidRPr="0096327A">
        <w:rPr>
          <w:rFonts w:ascii="Cambria" w:hAnsi="Cambria"/>
          <w:b/>
          <w:bCs/>
          <w:sz w:val="24"/>
          <w:szCs w:val="24"/>
          <w:lang w:val="fr-FR"/>
        </w:rPr>
        <w:t>10:</w:t>
      </w:r>
      <w:proofErr w:type="gramEnd"/>
      <w:r w:rsidRPr="0096327A">
        <w:rPr>
          <w:rFonts w:ascii="Cambria" w:hAnsi="Cambria"/>
          <w:b/>
          <w:bCs/>
          <w:sz w:val="24"/>
          <w:szCs w:val="24"/>
          <w:lang w:val="fr-FR"/>
        </w:rPr>
        <w:t>30 Q</w:t>
      </w:r>
      <w:r w:rsidR="0096327A" w:rsidRPr="0096327A">
        <w:rPr>
          <w:rFonts w:ascii="Cambria" w:hAnsi="Cambria"/>
          <w:b/>
          <w:bCs/>
          <w:sz w:val="24"/>
          <w:szCs w:val="24"/>
          <w:lang w:val="fr-FR"/>
        </w:rPr>
        <w:t>uestions et réponses</w:t>
      </w:r>
      <w:r w:rsidRPr="0096327A">
        <w:rPr>
          <w:rFonts w:ascii="Cambria" w:hAnsi="Cambria"/>
          <w:b/>
          <w:bCs/>
          <w:sz w:val="24"/>
          <w:szCs w:val="24"/>
          <w:lang w:val="fr-FR"/>
        </w:rPr>
        <w:t xml:space="preserve"> </w:t>
      </w:r>
    </w:p>
    <w:p w14:paraId="41A6FB8F" w14:textId="5B368286" w:rsidR="000A7052" w:rsidRPr="000A7052" w:rsidRDefault="000A7052" w:rsidP="000A7052">
      <w:pPr>
        <w:jc w:val="both"/>
        <w:rPr>
          <w:rFonts w:ascii="Cambria" w:hAnsi="Cambria"/>
          <w:sz w:val="24"/>
          <w:szCs w:val="24"/>
          <w:lang w:val="fr-FR"/>
        </w:rPr>
      </w:pPr>
      <w:proofErr w:type="gramStart"/>
      <w:r w:rsidRPr="0096327A">
        <w:rPr>
          <w:rFonts w:ascii="Cambria" w:hAnsi="Cambria"/>
          <w:b/>
          <w:bCs/>
          <w:sz w:val="24"/>
          <w:szCs w:val="24"/>
          <w:lang w:val="fr-FR"/>
        </w:rPr>
        <w:t>10:</w:t>
      </w:r>
      <w:proofErr w:type="gramEnd"/>
      <w:r w:rsidRPr="0096327A">
        <w:rPr>
          <w:rFonts w:ascii="Cambria" w:hAnsi="Cambria"/>
          <w:b/>
          <w:bCs/>
          <w:sz w:val="24"/>
          <w:szCs w:val="24"/>
          <w:lang w:val="fr-FR"/>
        </w:rPr>
        <w:t>55 Remarques de clôture:</w:t>
      </w:r>
      <w:r w:rsidRPr="000A7052">
        <w:rPr>
          <w:rFonts w:ascii="Cambria" w:hAnsi="Cambria"/>
          <w:sz w:val="24"/>
          <w:szCs w:val="24"/>
          <w:lang w:val="fr-FR"/>
        </w:rPr>
        <w:t xml:space="preserve"> Maria Sarraf, Responsable de la pratique</w:t>
      </w:r>
    </w:p>
    <w:p w14:paraId="333C987C" w14:textId="3E0D65C8" w:rsidR="000A7052" w:rsidRPr="0096327A" w:rsidRDefault="000A7052" w:rsidP="000A7052">
      <w:pPr>
        <w:jc w:val="both"/>
        <w:rPr>
          <w:rFonts w:ascii="Cambria" w:hAnsi="Cambria"/>
          <w:b/>
          <w:bCs/>
          <w:sz w:val="24"/>
          <w:szCs w:val="24"/>
          <w:lang w:val="fr-FR"/>
        </w:rPr>
      </w:pPr>
      <w:proofErr w:type="gramStart"/>
      <w:r w:rsidRPr="0096327A">
        <w:rPr>
          <w:rFonts w:ascii="Cambria" w:hAnsi="Cambria"/>
          <w:b/>
          <w:bCs/>
          <w:sz w:val="24"/>
          <w:szCs w:val="24"/>
          <w:lang w:val="fr-FR"/>
        </w:rPr>
        <w:t>11:</w:t>
      </w:r>
      <w:proofErr w:type="gramEnd"/>
      <w:r w:rsidRPr="0096327A">
        <w:rPr>
          <w:rFonts w:ascii="Cambria" w:hAnsi="Cambria"/>
          <w:b/>
          <w:bCs/>
          <w:sz w:val="24"/>
          <w:szCs w:val="24"/>
          <w:lang w:val="fr-FR"/>
        </w:rPr>
        <w:t>00 Fin</w:t>
      </w:r>
      <w:bookmarkStart w:id="0" w:name="_GoBack"/>
      <w:bookmarkEnd w:id="0"/>
    </w:p>
    <w:sectPr w:rsidR="000A7052" w:rsidRPr="009632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FCE48" w14:textId="77777777" w:rsidR="000A7052" w:rsidRDefault="000A7052" w:rsidP="000A7052">
      <w:pPr>
        <w:spacing w:after="0" w:line="240" w:lineRule="auto"/>
      </w:pPr>
      <w:r>
        <w:separator/>
      </w:r>
    </w:p>
  </w:endnote>
  <w:endnote w:type="continuationSeparator" w:id="0">
    <w:p w14:paraId="404976AB" w14:textId="77777777" w:rsidR="000A7052" w:rsidRDefault="000A7052" w:rsidP="000A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E334" w14:textId="77777777" w:rsidR="000A7052" w:rsidRDefault="000A7052" w:rsidP="000A7052">
      <w:pPr>
        <w:spacing w:after="0" w:line="240" w:lineRule="auto"/>
      </w:pPr>
      <w:r>
        <w:separator/>
      </w:r>
    </w:p>
  </w:footnote>
  <w:footnote w:type="continuationSeparator" w:id="0">
    <w:p w14:paraId="56E9381D" w14:textId="77777777" w:rsidR="000A7052" w:rsidRDefault="000A7052" w:rsidP="000A7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C21A8"/>
    <w:multiLevelType w:val="hybridMultilevel"/>
    <w:tmpl w:val="5C1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52"/>
    <w:rsid w:val="000A7052"/>
    <w:rsid w:val="0096327A"/>
    <w:rsid w:val="00B6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6B05"/>
  <w15:chartTrackingRefBased/>
  <w15:docId w15:val="{BB24AF3D-2322-4930-B6A6-07FD65AC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52"/>
    <w:pPr>
      <w:ind w:left="720"/>
      <w:contextualSpacing/>
    </w:pPr>
  </w:style>
  <w:style w:type="table" w:styleId="TableGrid">
    <w:name w:val="Table Grid"/>
    <w:basedOn w:val="TableNormal"/>
    <w:uiPriority w:val="39"/>
    <w:rsid w:val="000A7052"/>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052"/>
  </w:style>
  <w:style w:type="paragraph" w:styleId="Footer">
    <w:name w:val="footer"/>
    <w:basedOn w:val="Normal"/>
    <w:link w:val="FooterChar"/>
    <w:uiPriority w:val="99"/>
    <w:unhideWhenUsed/>
    <w:rsid w:val="000A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C6ACEA690174BBCBBB711773003D1" ma:contentTypeVersion="13" ma:contentTypeDescription="Create a new document." ma:contentTypeScope="" ma:versionID="afb6f20ac17428500273767967708a04">
  <xsd:schema xmlns:xsd="http://www.w3.org/2001/XMLSchema" xmlns:xs="http://www.w3.org/2001/XMLSchema" xmlns:p="http://schemas.microsoft.com/office/2006/metadata/properties" xmlns:ns3="b62a6951-2c34-4ea1-a7b3-d41f1f9af764" xmlns:ns4="d510ceac-9de4-4cd5-9325-1723d7d76bc5" targetNamespace="http://schemas.microsoft.com/office/2006/metadata/properties" ma:root="true" ma:fieldsID="7fcabf04772fc9a43e1db8f47c1fe1d2" ns3:_="" ns4:_="">
    <xsd:import namespace="b62a6951-2c34-4ea1-a7b3-d41f1f9af764"/>
    <xsd:import namespace="d510ceac-9de4-4cd5-9325-1723d7d76b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6951-2c34-4ea1-a7b3-d41f1f9a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0ceac-9de4-4cd5-9325-1723d7d76b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EE9BE-7EDC-46B6-8FF5-F2C57511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6951-2c34-4ea1-a7b3-d41f1f9af764"/>
    <ds:schemaRef ds:uri="d510ceac-9de4-4cd5-9325-1723d7d76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B9B59-02A1-4E7E-8566-0ED9A70A1306}">
  <ds:schemaRefs>
    <ds:schemaRef ds:uri="http://schemas.microsoft.com/sharepoint/v3/contenttype/forms"/>
  </ds:schemaRefs>
</ds:datastoreItem>
</file>

<file path=customXml/itemProps3.xml><?xml version="1.0" encoding="utf-8"?>
<ds:datastoreItem xmlns:ds="http://schemas.openxmlformats.org/officeDocument/2006/customXml" ds:itemID="{BC5DEC3C-9F7F-4CA5-97AB-52E507EF83FA}">
  <ds:schemaRefs>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d510ceac-9de4-4cd5-9325-1723d7d76bc5"/>
    <ds:schemaRef ds:uri="b62a6951-2c34-4ea1-a7b3-d41f1f9af764"/>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1</cp:revision>
  <dcterms:created xsi:type="dcterms:W3CDTF">2020-06-04T21:19:00Z</dcterms:created>
  <dcterms:modified xsi:type="dcterms:W3CDTF">2020-06-04T21:33:00Z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0x0101009BFC6ACEA690174BBCBBB711773003D1</vt:lpwstr>
  </property>
</Properties>
</file>